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Healthy Eating Policy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Introductory Statement: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  <w:br w:type="textWrapping"/>
        <w:br w:type="textWrapping"/>
        <w:t xml:space="preserve">The focus of this policy is to support parents and pupils in relation to healthy eating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abits from an early age. Practical suggestions are included, alternative snacks and treats as well as possible nutritious lunches.</w:t>
        <w:br w:type="textWrapping"/>
        <w:br w:type="textWrapping"/>
        <w:t xml:space="preserve">This policy is linked to: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before="280" w:line="240" w:lineRule="auto"/>
        <w:ind w:left="30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SPHE: Taking Care of My Body - Food and Nutrition and Making Choices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280" w:before="0" w:line="240" w:lineRule="auto"/>
        <w:ind w:left="30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Science: Myself - Human Life Processes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Objectives: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28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To help children and parents make healthy food choices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To improve the children's concentration and energy levels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80" w:before="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To develop an awareness of nutrition i.e. ingredients of food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Guidelines: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28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 healthy lunch-box contains a piece of food from the lowest 4 levels of the Food Pyramid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Snacks for small break include fruit, vegetables, flapjacks, fruit yoghurts, fromage frais, crackers and raisins.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Healthy fillings for sandwiches are encouraged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80" w:before="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The following foods are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NOT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permitted for lunch at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anytime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following a parental survey: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Cake: Madeira/Lemon drizzle/Carrot/Fruit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 Pancakes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 Chocolate bar/Chocolate sweets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Funsize jellies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Chocolate biscuits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Chocolate Muffins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Croissants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Chocolate cereal bars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Chewing gum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Large bars of any kind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Crisps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Fizzy drinks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Popcorn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Chocolate Spread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Nutella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Milk (due to a lack of refrigeration space)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ater is encouraged, although juices (no added sugar/tooth-kind) may be used as an alternative.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80" w:before="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Please be aware that quite a lot of lunch items available are “dressed-up” as healthy, nutritious foods but which in reality are laced with sugar and other additives. We appeal to your common sense in this regard.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Exemptions: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280" w:before="28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Children are allowed a small treat on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Friday Only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 The following is a list of the treats agreed following a parental survey: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Plain biscuit – digestive, rich tea, fig roll, ginger nut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Bun: plain/chocolate chip/bun with icing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Chocolate/Yoghurt Rice Cake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280" w:before="280" w:line="240" w:lineRule="auto"/>
        <w:ind w:left="30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Children will be allowed to have a treat day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 the end of each term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4115346" cy="2347032"/>
            <wp:effectExtent b="0" l="0" r="0" t="0"/>
            <wp:docPr descr="https://www.safefood.eu/SafeFood/media/SafeFoodLibrary/Images/Healthy%20Eating/Food_Diet/Food_pyramid_transp_landscape_640.gif?ext=.gif" id="5" name="image2.gif"/>
            <a:graphic>
              <a:graphicData uri="http://schemas.openxmlformats.org/drawingml/2006/picture">
                <pic:pic>
                  <pic:nvPicPr>
                    <pic:cNvPr descr="https://www.safefood.eu/SafeFood/media/SafeFoodLibrary/Images/Healthy%20Eating/Food_Diet/Food_pyramid_transp_landscape_640.gif?ext=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5346" cy="23470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Lots of Great &amp; Tasty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Snacks: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  <w:br w:type="textWrapping"/>
        <w:t xml:space="preserve">Try ... whole-meal muffins, raisins, scones, flapjacks, raw vegetables, fruit, seeds, dried fruit, fruit yoghurts, crackers, fromage frais or bread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Drinks: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  <w:br w:type="textWrapping"/>
        <w:t xml:space="preserve">Gulp Down ... water, unsweetened fruit juices, yoghurt drinks, vegetable drinks, or smoothies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Carbohydrates: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  <w:br w:type="textWrapping"/>
        <w:t xml:space="preserve">What About ... whole-grain breads, rolls, bagels, wraps, oatcakes, crackers, pasta, rice, plain rice cakes or plain cereal bar.</w:t>
        <w:br w:type="textWrapping"/>
        <w:br w:type="textWrapping"/>
        <w:t xml:space="preserve">Fillings could include: cheese, tuna, hummus, cold meats, lettuce, cucumber, tomato, onion, peppers, coleslaw or salad.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Fruit: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  <w:br w:type="textWrapping"/>
        <w:t xml:space="preserve">Chop On ... apple, orange, banana, grape, pear, plum, kiwi, melon, grapefruit, pineapple and many more ...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Raw Vegetables: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  <w:br w:type="textWrapping"/>
        <w:t xml:space="preserve">Crunch On ... carrots, peppers, cucumber, broccoli, tomatoes, sweetcorn and many more...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Ratification and Communication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policy was ratified by the BOM on __________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2023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2D">
      <w:pPr>
        <w:tabs>
          <w:tab w:val="center" w:leader="none" w:pos="4153"/>
          <w:tab w:val="right" w:leader="none" w:pos="8306"/>
        </w:tabs>
        <w:spacing w:after="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4153"/>
          <w:tab w:val="right" w:leader="none" w:pos="8306"/>
        </w:tabs>
        <w:spacing w:after="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Signed: ________________________ Chairperson       </w:t>
      </w:r>
    </w:p>
    <w:p w:rsidR="00000000" w:rsidDel="00000000" w:rsidP="00000000" w:rsidRDefault="00000000" w:rsidRPr="00000000" w14:paraId="0000002F">
      <w:pPr>
        <w:tabs>
          <w:tab w:val="center" w:leader="none" w:pos="4153"/>
          <w:tab w:val="right" w:leader="none" w:pos="8306"/>
        </w:tabs>
        <w:spacing w:after="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leader="none" w:pos="4153"/>
          <w:tab w:val="right" w:leader="none" w:pos="8306"/>
        </w:tabs>
        <w:spacing w:after="0" w:line="360" w:lineRule="auto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Signed: ________________________ Principal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103350</wp:posOffset>
          </wp:positionH>
          <wp:positionV relativeFrom="paragraph">
            <wp:posOffset>-95249</wp:posOffset>
          </wp:positionV>
          <wp:extent cx="5524500" cy="1498326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0" cy="14983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❖"/>
      <w:lvlJc w:val="left"/>
      <w:pPr>
        <w:ind w:left="10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5C5C"/>
    <w:rPr>
      <w:rFonts w:ascii="Calibri" w:cs="Tahoma" w:eastAsia="Times New Roman" w:hAnsi="Calibri"/>
      <w:lang w:eastAsia="en-I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638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3884"/>
  </w:style>
  <w:style w:type="paragraph" w:styleId="Footer">
    <w:name w:val="footer"/>
    <w:basedOn w:val="Normal"/>
    <w:link w:val="FooterChar"/>
    <w:uiPriority w:val="99"/>
    <w:unhideWhenUsed w:val="1"/>
    <w:rsid w:val="004638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388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63884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63884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qFormat w:val="1"/>
    <w:rsid w:val="00E45C5C"/>
    <w:pPr>
      <w:ind w:left="720"/>
    </w:pPr>
  </w:style>
  <w:style w:type="character" w:styleId="Hyperlink">
    <w:name w:val="Hyperlink"/>
    <w:semiHidden w:val="1"/>
    <w:unhideWhenUsed w:val="1"/>
    <w:rsid w:val="00E45C5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gif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C2cqG9wR4UpnRWCZBQZqXdY4HQ==">CgMxLjAikgIKC0FBQUF3eVpDV1NzEtwBCgtBQUFBd3laQ1dTcxILQUFBQXd5WkNXU3MaDQoJdGV4dC9odG1sEgAiDgoKdGV4dC9wbGFpbhIAKhsiFTEwNTE4NTI2MDEyMDQyODgyMzUwMigAOAAwzu7ggIExOM7y4ICBMUo8CiRhcHBsaWNhdGlvbi92bmQuZ29vZ2xlLWFwcHMuZG9jcy5tZHMaFMLX2uQBDhoMCggKAjIwEAEYABABWgw3aGc1MXE2cm42dnNyAiAAeACCARRzdWdnZXN0LnUwZ3RkMzllcTBhbZoBBggAEAAYALABALgBABjO7uCAgTEgzvLggIExMABCFHN1Z2dlc3QudTBndGQzOWVxMGFtMghoLmdqZGd4czgAaiwKFHN1Z2dlc3QuOW9veXVjd255b3puEhRDYXRoZXJpbmUgRml0emdlcmFsZGosChRzdWdnZXN0LnY5NWVjdWw1d3Z2MBIUQ2F0aGVyaW5lIEZpdHpnZXJhbGRqLAoUc3VnZ2VzdC45aHZoeXVxOXcxeDkSFENhdGhlcmluZSBGaXR6Z2VyYWxkaiwKFHN1Z2dlc3QudTBndGQzOWVxMGFtEhRDYXRoZXJpbmUgRml0emdlcmFsZGosChRzdWdnZXN0LmRlODN1Z3JlMGExOBIUQ2F0aGVyaW5lIEZpdHpnZXJhbGRyITFYWjhoZWY2bU9NTVZObWpudmk2SnRmWWtMaVRxNG43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2019-01-22T22:31:00Z</dcterms:created>
  <dc:creator>School7</dc:creator>
</cp:coreProperties>
</file>